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6241F" w14:textId="77777777" w:rsidR="00006D8D"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p>
    <w:p w14:paraId="0DC4A89B" w14:textId="77777777" w:rsidR="00006D8D"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p>
    <w:p w14:paraId="3D4FBB2E" w14:textId="77777777" w:rsidR="00006D8D"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p>
    <w:p w14:paraId="5F4C2DEA" w14:textId="77777777" w:rsidR="00006D8D"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p>
    <w:p w14:paraId="419D10E9" w14:textId="77777777" w:rsidR="00006D8D"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p>
    <w:p w14:paraId="50663077" w14:textId="136DB152" w:rsidR="00803C81"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r>
        <w:rPr>
          <w:rFonts w:asciiTheme="majorBidi" w:hAnsiTheme="majorBidi" w:cstheme="majorBidi"/>
          <w:color w:val="111111"/>
        </w:rPr>
        <w:t xml:space="preserve">Standard and Special </w:t>
      </w:r>
      <w:r>
        <w:rPr>
          <w:rFonts w:asciiTheme="majorBidi" w:hAnsiTheme="majorBidi" w:cstheme="majorBidi"/>
          <w:color w:val="111111"/>
        </w:rPr>
        <w:t>C</w:t>
      </w:r>
      <w:r>
        <w:rPr>
          <w:rFonts w:asciiTheme="majorBidi" w:hAnsiTheme="majorBidi" w:cstheme="majorBidi"/>
          <w:color w:val="111111"/>
        </w:rPr>
        <w:t>onditions of Probation</w:t>
      </w:r>
    </w:p>
    <w:p w14:paraId="35F9EA15" w14:textId="77777777" w:rsidR="00803C81" w:rsidRDefault="00162C59" w:rsidP="00006D8D">
      <w:pPr>
        <w:pStyle w:val="NormalWeb"/>
        <w:shd w:val="clear" w:color="auto" w:fill="FFFFFF"/>
        <w:spacing w:before="0" w:beforeAutospacing="0" w:after="240" w:afterAutospacing="0" w:line="480" w:lineRule="auto"/>
        <w:jc w:val="center"/>
        <w:rPr>
          <w:rFonts w:eastAsia="Calibri"/>
        </w:rPr>
      </w:pPr>
      <w:r w:rsidRPr="0090175B">
        <w:rPr>
          <w:rFonts w:eastAsia="Calibri"/>
        </w:rPr>
        <w:t>Student’s Name</w:t>
      </w:r>
    </w:p>
    <w:p w14:paraId="79508E87" w14:textId="77777777" w:rsidR="00803C81" w:rsidRDefault="00162C59" w:rsidP="00006D8D">
      <w:pPr>
        <w:pStyle w:val="NormalWeb"/>
        <w:shd w:val="clear" w:color="auto" w:fill="FFFFFF"/>
        <w:spacing w:before="0" w:beforeAutospacing="0" w:after="240" w:afterAutospacing="0" w:line="480" w:lineRule="auto"/>
        <w:jc w:val="center"/>
        <w:rPr>
          <w:rFonts w:eastAsia="Calibri"/>
        </w:rPr>
      </w:pPr>
      <w:r w:rsidRPr="0090175B">
        <w:rPr>
          <w:rFonts w:eastAsia="Calibri"/>
        </w:rPr>
        <w:t>Institutional Affiliations</w:t>
      </w:r>
    </w:p>
    <w:p w14:paraId="1B9B8500" w14:textId="77777777" w:rsidR="00006D8D"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r>
        <w:rPr>
          <w:rFonts w:asciiTheme="majorBidi" w:hAnsiTheme="majorBidi" w:cstheme="majorBidi"/>
          <w:color w:val="111111"/>
        </w:rPr>
        <w:br w:type="page"/>
      </w:r>
    </w:p>
    <w:p w14:paraId="4F1BBD1F" w14:textId="7F6B0A4D" w:rsidR="00803C81"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r>
        <w:rPr>
          <w:rFonts w:asciiTheme="majorBidi" w:hAnsiTheme="majorBidi" w:cstheme="majorBidi"/>
          <w:color w:val="111111"/>
        </w:rPr>
        <w:lastRenderedPageBreak/>
        <w:t xml:space="preserve">Standard and Special </w:t>
      </w:r>
      <w:r>
        <w:rPr>
          <w:rFonts w:asciiTheme="majorBidi" w:hAnsiTheme="majorBidi" w:cstheme="majorBidi"/>
          <w:color w:val="111111"/>
        </w:rPr>
        <w:t>C</w:t>
      </w:r>
      <w:r>
        <w:rPr>
          <w:rFonts w:asciiTheme="majorBidi" w:hAnsiTheme="majorBidi" w:cstheme="majorBidi"/>
          <w:color w:val="111111"/>
        </w:rPr>
        <w:t>onditions of Probation</w:t>
      </w:r>
    </w:p>
    <w:p w14:paraId="35147875" w14:textId="77777777" w:rsidR="00803C81" w:rsidRPr="00A30C5A"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b/>
          <w:color w:val="111111"/>
        </w:rPr>
      </w:pPr>
      <w:r w:rsidRPr="00A30C5A">
        <w:rPr>
          <w:rFonts w:asciiTheme="majorBidi" w:hAnsiTheme="majorBidi" w:cstheme="majorBidi"/>
          <w:b/>
          <w:color w:val="111111"/>
        </w:rPr>
        <w:t>Introduction</w:t>
      </w:r>
    </w:p>
    <w:p w14:paraId="50A9ED9A" w14:textId="77777777" w:rsidR="00803C81" w:rsidRDefault="00162C59" w:rsidP="00006D8D">
      <w:pPr>
        <w:pStyle w:val="NormalWeb"/>
        <w:shd w:val="clear" w:color="auto" w:fill="FFFFFF"/>
        <w:spacing w:before="0" w:beforeAutospacing="0" w:after="240" w:afterAutospacing="0" w:line="480" w:lineRule="auto"/>
        <w:ind w:firstLine="720"/>
        <w:rPr>
          <w:rFonts w:asciiTheme="majorBidi" w:hAnsiTheme="majorBidi" w:cstheme="majorBidi"/>
          <w:color w:val="111111"/>
        </w:rPr>
      </w:pPr>
      <w:r w:rsidRPr="003937DE">
        <w:rPr>
          <w:rFonts w:asciiTheme="majorBidi" w:hAnsiTheme="majorBidi" w:cstheme="majorBidi"/>
          <w:color w:val="111111"/>
        </w:rPr>
        <w:t>Probation</w:t>
      </w:r>
      <w:r>
        <w:rPr>
          <w:rFonts w:asciiTheme="majorBidi" w:hAnsiTheme="majorBidi" w:cstheme="majorBidi"/>
          <w:color w:val="111111"/>
        </w:rPr>
        <w:t xml:space="preserve"> is an option that replaces incarceration for someone convicted of a crime.  The judge dealing with a particular offense can sentence an offender to probation. During that period, the offender is supervised closely even though they are not in the custody c</w:t>
      </w:r>
      <w:r>
        <w:rPr>
          <w:rFonts w:asciiTheme="majorBidi" w:hAnsiTheme="majorBidi" w:cstheme="majorBidi"/>
          <w:color w:val="111111"/>
        </w:rPr>
        <w:t xml:space="preserve">onfinement. There are two types of regulations applying to such probation. These are standard and special conditions. The two conditions can be applied, but they have variations from one state to another. Probation is mostly for criminals who have </w:t>
      </w:r>
      <w:r>
        <w:rPr>
          <w:rFonts w:asciiTheme="majorBidi" w:hAnsiTheme="majorBidi" w:cstheme="majorBidi"/>
          <w:color w:val="111111"/>
        </w:rPr>
        <w:t>committed misdemeanor</w:t>
      </w:r>
      <w:r w:rsidRPr="003937DE">
        <w:rPr>
          <w:rFonts w:asciiTheme="majorBidi" w:hAnsiTheme="majorBidi" w:cstheme="majorBidi"/>
          <w:color w:val="111111"/>
        </w:rPr>
        <w:t xml:space="preserve"> offenses</w:t>
      </w:r>
      <w:r>
        <w:rPr>
          <w:rFonts w:asciiTheme="majorBidi" w:hAnsiTheme="majorBidi" w:cstheme="majorBidi"/>
          <w:color w:val="111111"/>
        </w:rPr>
        <w:t xml:space="preserve"> (Phelps, </w:t>
      </w:r>
      <w:r w:rsidRPr="006335E7">
        <w:rPr>
          <w:rFonts w:asciiTheme="majorBidi" w:hAnsiTheme="majorBidi" w:cstheme="majorBidi"/>
          <w:color w:val="111111"/>
        </w:rPr>
        <w:t>2013</w:t>
      </w:r>
      <w:r>
        <w:rPr>
          <w:rFonts w:asciiTheme="majorBidi" w:hAnsiTheme="majorBidi" w:cstheme="majorBidi"/>
          <w:color w:val="111111"/>
        </w:rPr>
        <w:t>)</w:t>
      </w:r>
      <w:r w:rsidRPr="003937DE">
        <w:rPr>
          <w:rFonts w:asciiTheme="majorBidi" w:hAnsiTheme="majorBidi" w:cstheme="majorBidi"/>
          <w:color w:val="111111"/>
        </w:rPr>
        <w:t>.</w:t>
      </w:r>
      <w:r>
        <w:rPr>
          <w:rFonts w:asciiTheme="majorBidi" w:hAnsiTheme="majorBidi" w:cstheme="majorBidi"/>
          <w:color w:val="111111"/>
        </w:rPr>
        <w:t xml:space="preserve"> </w:t>
      </w:r>
      <w:r>
        <w:rPr>
          <w:rFonts w:asciiTheme="majorBidi" w:hAnsiTheme="majorBidi" w:cstheme="majorBidi"/>
          <w:color w:val="111111"/>
        </w:rPr>
        <w:t>This paper will explore the differences between the two conditions applying to probation. Furthermore, it will attempt to justify the need to meet the needs of the offender when imposing these conditions</w:t>
      </w:r>
      <w:r>
        <w:rPr>
          <w:rFonts w:asciiTheme="majorBidi" w:hAnsiTheme="majorBidi" w:cstheme="majorBidi"/>
          <w:color w:val="111111"/>
        </w:rPr>
        <w:t>.</w:t>
      </w:r>
    </w:p>
    <w:p w14:paraId="2823D824" w14:textId="1ACB6922" w:rsidR="00803C81" w:rsidRPr="00A30C5A"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b/>
          <w:color w:val="111111"/>
        </w:rPr>
      </w:pPr>
      <w:r w:rsidRPr="00A30C5A">
        <w:rPr>
          <w:rFonts w:asciiTheme="majorBidi" w:hAnsiTheme="majorBidi" w:cstheme="majorBidi"/>
          <w:b/>
          <w:color w:val="111111"/>
        </w:rPr>
        <w:t xml:space="preserve">Difference between Standard and Special </w:t>
      </w:r>
      <w:r>
        <w:rPr>
          <w:rFonts w:asciiTheme="majorBidi" w:hAnsiTheme="majorBidi" w:cstheme="majorBidi"/>
          <w:b/>
          <w:color w:val="111111"/>
        </w:rPr>
        <w:t>C</w:t>
      </w:r>
      <w:r w:rsidRPr="00A30C5A">
        <w:rPr>
          <w:rFonts w:asciiTheme="majorBidi" w:hAnsiTheme="majorBidi" w:cstheme="majorBidi"/>
          <w:b/>
          <w:color w:val="111111"/>
        </w:rPr>
        <w:t>onditions of Probation</w:t>
      </w:r>
    </w:p>
    <w:p w14:paraId="36285A8F" w14:textId="77777777" w:rsidR="00803C81" w:rsidRDefault="00162C59" w:rsidP="00006D8D">
      <w:pPr>
        <w:pStyle w:val="NormalWeb"/>
        <w:shd w:val="clear" w:color="auto" w:fill="FFFFFF"/>
        <w:spacing w:before="0" w:beforeAutospacing="0" w:after="240" w:afterAutospacing="0" w:line="480" w:lineRule="auto"/>
        <w:ind w:firstLine="720"/>
        <w:rPr>
          <w:rFonts w:asciiTheme="majorBidi" w:hAnsiTheme="majorBidi" w:cstheme="majorBidi"/>
          <w:color w:val="111111"/>
        </w:rPr>
      </w:pPr>
      <w:r>
        <w:rPr>
          <w:rFonts w:asciiTheme="majorBidi" w:hAnsiTheme="majorBidi" w:cstheme="majorBidi"/>
          <w:color w:val="111111"/>
        </w:rPr>
        <w:t xml:space="preserve">Standard condition of probation is the most common type where an offender is placed under conditions in which they do not need maximum restrictions at the Juvenile </w:t>
      </w:r>
      <w:r>
        <w:rPr>
          <w:rFonts w:asciiTheme="majorBidi" w:hAnsiTheme="majorBidi" w:cstheme="majorBidi"/>
          <w:color w:val="111111"/>
        </w:rPr>
        <w:t>Correction</w:t>
      </w:r>
      <w:r>
        <w:rPr>
          <w:rFonts w:asciiTheme="majorBidi" w:hAnsiTheme="majorBidi" w:cstheme="majorBidi"/>
          <w:color w:val="111111"/>
        </w:rPr>
        <w:t xml:space="preserve"> departments</w:t>
      </w:r>
      <w:r>
        <w:rPr>
          <w:rFonts w:asciiTheme="majorBidi" w:hAnsiTheme="majorBidi" w:cstheme="majorBidi"/>
          <w:color w:val="111111"/>
        </w:rPr>
        <w:t xml:space="preserve">. They, however, require close supervision and a monitoring mechanism. </w:t>
      </w:r>
      <w:r>
        <w:rPr>
          <w:rFonts w:asciiTheme="majorBidi" w:hAnsiTheme="majorBidi" w:cstheme="majorBidi"/>
          <w:color w:val="111111"/>
        </w:rPr>
        <w:t xml:space="preserve">The aim is to ensure community protection against the criminal and also ensuring a change in the behavior of the offender. Furthermore, accountability is ensured </w:t>
      </w:r>
      <w:r>
        <w:rPr>
          <w:rFonts w:asciiTheme="majorBidi" w:hAnsiTheme="majorBidi" w:cstheme="majorBidi"/>
          <w:color w:val="111111"/>
        </w:rPr>
        <w:t>as a</w:t>
      </w:r>
      <w:r>
        <w:rPr>
          <w:rFonts w:asciiTheme="majorBidi" w:hAnsiTheme="majorBidi" w:cstheme="majorBidi"/>
          <w:color w:val="111111"/>
        </w:rPr>
        <w:t xml:space="preserve"> strategy to see to it that the offender completes the punishment intended even while outside the prison confinement</w:t>
      </w:r>
      <w:r>
        <w:rPr>
          <w:rFonts w:asciiTheme="majorBidi" w:hAnsiTheme="majorBidi" w:cstheme="majorBidi"/>
          <w:color w:val="111111"/>
        </w:rPr>
        <w:t xml:space="preserve"> (Epperson et al., </w:t>
      </w:r>
      <w:r w:rsidRPr="002176AE">
        <w:rPr>
          <w:rFonts w:asciiTheme="majorBidi" w:hAnsiTheme="majorBidi" w:cstheme="majorBidi"/>
          <w:color w:val="111111"/>
        </w:rPr>
        <w:t>2014</w:t>
      </w:r>
      <w:r>
        <w:rPr>
          <w:rFonts w:asciiTheme="majorBidi" w:hAnsiTheme="majorBidi" w:cstheme="majorBidi"/>
          <w:color w:val="111111"/>
        </w:rPr>
        <w:t>)</w:t>
      </w:r>
      <w:r>
        <w:rPr>
          <w:rFonts w:asciiTheme="majorBidi" w:hAnsiTheme="majorBidi" w:cstheme="majorBidi"/>
          <w:color w:val="111111"/>
        </w:rPr>
        <w:t>.</w:t>
      </w:r>
    </w:p>
    <w:p w14:paraId="6F66AE5B" w14:textId="77777777" w:rsidR="00803C81" w:rsidRDefault="00162C59" w:rsidP="00006D8D">
      <w:pPr>
        <w:pStyle w:val="NormalWeb"/>
        <w:shd w:val="clear" w:color="auto" w:fill="FFFFFF"/>
        <w:spacing w:before="0" w:beforeAutospacing="0" w:after="240" w:afterAutospacing="0" w:line="480" w:lineRule="auto"/>
        <w:ind w:firstLine="720"/>
        <w:rPr>
          <w:rFonts w:asciiTheme="majorBidi" w:hAnsiTheme="majorBidi" w:cstheme="majorBidi"/>
          <w:color w:val="111111"/>
        </w:rPr>
      </w:pPr>
      <w:r>
        <w:rPr>
          <w:rFonts w:asciiTheme="majorBidi" w:hAnsiTheme="majorBidi" w:cstheme="majorBidi"/>
          <w:color w:val="111111"/>
        </w:rPr>
        <w:t>There are several conditions which bind an individual whenever a court issues probation. These are the standard</w:t>
      </w:r>
      <w:r>
        <w:rPr>
          <w:rFonts w:asciiTheme="majorBidi" w:hAnsiTheme="majorBidi" w:cstheme="majorBidi"/>
          <w:color w:val="111111"/>
        </w:rPr>
        <w:t xml:space="preserve"> conditions since they are the same whether we are handling a </w:t>
      </w:r>
      <w:r>
        <w:rPr>
          <w:rFonts w:asciiTheme="majorBidi" w:hAnsiTheme="majorBidi" w:cstheme="majorBidi"/>
          <w:color w:val="111111"/>
        </w:rPr>
        <w:t xml:space="preserve">condition on </w:t>
      </w:r>
      <w:r>
        <w:rPr>
          <w:rFonts w:asciiTheme="majorBidi" w:hAnsiTheme="majorBidi" w:cstheme="majorBidi"/>
          <w:color w:val="111111"/>
        </w:rPr>
        <w:lastRenderedPageBreak/>
        <w:t xml:space="preserve">probation, parole or supervised release. </w:t>
      </w:r>
      <w:r>
        <w:rPr>
          <w:rFonts w:asciiTheme="majorBidi" w:hAnsiTheme="majorBidi" w:cstheme="majorBidi"/>
          <w:color w:val="111111"/>
        </w:rPr>
        <w:t>The conditions are reporting on probation as specified in the law without violation of the same. Allowing supervisors to visit anywher</w:t>
      </w:r>
      <w:r>
        <w:rPr>
          <w:rFonts w:asciiTheme="majorBidi" w:hAnsiTheme="majorBidi" w:cstheme="majorBidi"/>
          <w:color w:val="111111"/>
        </w:rPr>
        <w:t>e, whether at home or elsewhere without inconveniences and remaining within the specified environment to make it easier for access as need arise. The person is also not allowed to associate with persons involved in the criminal act. Furthermore, submission</w:t>
      </w:r>
      <w:r>
        <w:rPr>
          <w:rFonts w:asciiTheme="majorBidi" w:hAnsiTheme="majorBidi" w:cstheme="majorBidi"/>
          <w:color w:val="111111"/>
        </w:rPr>
        <w:t xml:space="preserve"> to tests such as drug tests is required as specified and the offender is not to carry or be in possession of firearms and ammunition.</w:t>
      </w:r>
      <w:r>
        <w:rPr>
          <w:rFonts w:asciiTheme="majorBidi" w:hAnsiTheme="majorBidi" w:cstheme="majorBidi"/>
          <w:color w:val="111111"/>
        </w:rPr>
        <w:t xml:space="preserve"> These conditions are uniform irrespective of the crime committed and thus a total adherence is required on the part</w:t>
      </w:r>
      <w:r>
        <w:rPr>
          <w:rFonts w:asciiTheme="majorBidi" w:hAnsiTheme="majorBidi" w:cstheme="majorBidi"/>
          <w:color w:val="111111"/>
        </w:rPr>
        <w:t xml:space="preserve"> of the offenders</w:t>
      </w:r>
      <w:r>
        <w:rPr>
          <w:rFonts w:asciiTheme="majorBidi" w:hAnsiTheme="majorBidi" w:cstheme="majorBidi"/>
          <w:color w:val="111111"/>
        </w:rPr>
        <w:t xml:space="preserve"> </w:t>
      </w:r>
      <w:r>
        <w:rPr>
          <w:rFonts w:asciiTheme="majorBidi" w:hAnsiTheme="majorBidi" w:cstheme="majorBidi"/>
          <w:color w:val="111111"/>
        </w:rPr>
        <w:t>(</w:t>
      </w:r>
      <w:r>
        <w:t>Glenn, 2018</w:t>
      </w:r>
      <w:r>
        <w:rPr>
          <w:rFonts w:asciiTheme="majorBidi" w:hAnsiTheme="majorBidi" w:cstheme="majorBidi"/>
          <w:color w:val="111111"/>
        </w:rPr>
        <w:t>)</w:t>
      </w:r>
      <w:r>
        <w:rPr>
          <w:rFonts w:asciiTheme="majorBidi" w:hAnsiTheme="majorBidi" w:cstheme="majorBidi"/>
          <w:color w:val="111111"/>
        </w:rPr>
        <w:t>. This is unlike special conditions for probation.</w:t>
      </w:r>
    </w:p>
    <w:p w14:paraId="4F19E9C3" w14:textId="77777777" w:rsidR="00803C81" w:rsidRDefault="00162C59" w:rsidP="00006D8D">
      <w:pPr>
        <w:pStyle w:val="NormalWeb"/>
        <w:shd w:val="clear" w:color="auto" w:fill="FFFFFF"/>
        <w:spacing w:before="0" w:beforeAutospacing="0" w:after="240" w:afterAutospacing="0" w:line="480" w:lineRule="auto"/>
        <w:ind w:firstLine="720"/>
        <w:rPr>
          <w:rFonts w:asciiTheme="majorBidi" w:hAnsiTheme="majorBidi" w:cstheme="majorBidi"/>
          <w:color w:val="111111"/>
        </w:rPr>
      </w:pPr>
      <w:r>
        <w:rPr>
          <w:rFonts w:asciiTheme="majorBidi" w:hAnsiTheme="majorBidi" w:cstheme="majorBidi"/>
          <w:color w:val="111111"/>
        </w:rPr>
        <w:t xml:space="preserve">Special conditions for probation arise when the court issues additional conditions. This is dependent on the </w:t>
      </w:r>
      <w:r>
        <w:rPr>
          <w:rFonts w:asciiTheme="majorBidi" w:hAnsiTheme="majorBidi" w:cstheme="majorBidi"/>
          <w:color w:val="111111"/>
        </w:rPr>
        <w:t>type of criminal charge. The conditions might be any,</w:t>
      </w:r>
      <w:r>
        <w:rPr>
          <w:rFonts w:asciiTheme="majorBidi" w:hAnsiTheme="majorBidi" w:cstheme="majorBidi"/>
          <w:color w:val="111111"/>
        </w:rPr>
        <w:t xml:space="preserve"> some or even all of the ones mentioned here. These are community service hours which might be specified, drug evaluation to ensure the offender is not involved in some drug abuse. The offender might also be required to attend classes such as anger managem</w:t>
      </w:r>
      <w:r>
        <w:rPr>
          <w:rFonts w:asciiTheme="majorBidi" w:hAnsiTheme="majorBidi" w:cstheme="majorBidi"/>
          <w:color w:val="111111"/>
        </w:rPr>
        <w:t>ent and in case the offense committed is theft, then impulse control class is usually imposed as a special condition</w:t>
      </w:r>
      <w:r>
        <w:rPr>
          <w:rFonts w:asciiTheme="majorBidi" w:hAnsiTheme="majorBidi" w:cstheme="majorBidi"/>
          <w:color w:val="111111"/>
        </w:rPr>
        <w:t xml:space="preserve"> (Motivans, </w:t>
      </w:r>
      <w:r w:rsidRPr="00721AFD">
        <w:rPr>
          <w:rFonts w:asciiTheme="majorBidi" w:hAnsiTheme="majorBidi" w:cstheme="majorBidi"/>
          <w:color w:val="111111"/>
        </w:rPr>
        <w:t>2013</w:t>
      </w:r>
      <w:r>
        <w:rPr>
          <w:rFonts w:asciiTheme="majorBidi" w:hAnsiTheme="majorBidi" w:cstheme="majorBidi"/>
          <w:color w:val="111111"/>
        </w:rPr>
        <w:t>)</w:t>
      </w:r>
      <w:r>
        <w:rPr>
          <w:rFonts w:asciiTheme="majorBidi" w:hAnsiTheme="majorBidi" w:cstheme="majorBidi"/>
          <w:color w:val="111111"/>
        </w:rPr>
        <w:t>. For criminals involved in domestic violence, related courses would be administered.</w:t>
      </w:r>
    </w:p>
    <w:p w14:paraId="57FCAC6A" w14:textId="77777777" w:rsidR="00803C81" w:rsidRDefault="00162C59" w:rsidP="00006D8D">
      <w:pPr>
        <w:pStyle w:val="NormalWeb"/>
        <w:shd w:val="clear" w:color="auto" w:fill="FFFFFF"/>
        <w:spacing w:before="0" w:beforeAutospacing="0" w:after="240" w:afterAutospacing="0" w:line="480" w:lineRule="auto"/>
        <w:ind w:firstLine="720"/>
        <w:rPr>
          <w:rFonts w:asciiTheme="majorBidi" w:hAnsiTheme="majorBidi" w:cstheme="majorBidi"/>
          <w:color w:val="111111"/>
        </w:rPr>
      </w:pPr>
      <w:r>
        <w:rPr>
          <w:rFonts w:asciiTheme="majorBidi" w:hAnsiTheme="majorBidi" w:cstheme="majorBidi"/>
          <w:color w:val="111111"/>
        </w:rPr>
        <w:t xml:space="preserve">Special conditions of </w:t>
      </w:r>
      <w:r>
        <w:rPr>
          <w:rFonts w:asciiTheme="majorBidi" w:hAnsiTheme="majorBidi" w:cstheme="majorBidi"/>
          <w:color w:val="111111"/>
        </w:rPr>
        <w:t>probation, unlike the standard one, vary depending on the offense in question. It is also clear that they are just additional conditions which therefore may not be standalone in terms of operation. This implies that you cannot apply them without standard c</w:t>
      </w:r>
      <w:r>
        <w:rPr>
          <w:rFonts w:asciiTheme="majorBidi" w:hAnsiTheme="majorBidi" w:cstheme="majorBidi"/>
          <w:color w:val="111111"/>
        </w:rPr>
        <w:t xml:space="preserve">onditions as probation terms. However, violation of these conditions </w:t>
      </w:r>
      <w:r>
        <w:rPr>
          <w:rFonts w:asciiTheme="majorBidi" w:hAnsiTheme="majorBidi" w:cstheme="majorBidi"/>
          <w:color w:val="111111"/>
        </w:rPr>
        <w:t>would also result in the termination of the probation prematurely, the offender arrest without any warrant. This could also occur in a situation where the individual commits anot</w:t>
      </w:r>
      <w:r>
        <w:rPr>
          <w:rFonts w:asciiTheme="majorBidi" w:hAnsiTheme="majorBidi" w:cstheme="majorBidi"/>
          <w:color w:val="111111"/>
        </w:rPr>
        <w:t xml:space="preserve">her crime while still on probation. We </w:t>
      </w:r>
      <w:r>
        <w:rPr>
          <w:rFonts w:asciiTheme="majorBidi" w:hAnsiTheme="majorBidi" w:cstheme="majorBidi"/>
          <w:color w:val="111111"/>
        </w:rPr>
        <w:t>can, therefore, agree with the assertion that special conditions are a subset of the standard conditions</w:t>
      </w:r>
      <w:r>
        <w:rPr>
          <w:rFonts w:asciiTheme="majorBidi" w:hAnsiTheme="majorBidi" w:cstheme="majorBidi"/>
          <w:color w:val="111111"/>
        </w:rPr>
        <w:t xml:space="preserve"> (Taxman, </w:t>
      </w:r>
      <w:r w:rsidRPr="001F6EF6">
        <w:rPr>
          <w:rFonts w:asciiTheme="majorBidi" w:hAnsiTheme="majorBidi" w:cstheme="majorBidi"/>
          <w:color w:val="111111"/>
        </w:rPr>
        <w:t>2012</w:t>
      </w:r>
      <w:r>
        <w:rPr>
          <w:rFonts w:asciiTheme="majorBidi" w:hAnsiTheme="majorBidi" w:cstheme="majorBidi"/>
          <w:color w:val="111111"/>
        </w:rPr>
        <w:t>)</w:t>
      </w:r>
      <w:r>
        <w:rPr>
          <w:rFonts w:asciiTheme="majorBidi" w:hAnsiTheme="majorBidi" w:cstheme="majorBidi"/>
          <w:color w:val="111111"/>
        </w:rPr>
        <w:t>.</w:t>
      </w:r>
    </w:p>
    <w:p w14:paraId="7BE45B29" w14:textId="77777777" w:rsidR="00803C81" w:rsidRPr="008E6D00"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b/>
          <w:color w:val="111111"/>
        </w:rPr>
      </w:pPr>
      <w:r w:rsidRPr="008E6D00">
        <w:rPr>
          <w:rFonts w:asciiTheme="majorBidi" w:hAnsiTheme="majorBidi" w:cstheme="majorBidi"/>
          <w:b/>
          <w:color w:val="111111"/>
        </w:rPr>
        <w:lastRenderedPageBreak/>
        <w:t xml:space="preserve">Is it beneficial and necessary to meet the needs of offenders when imposing </w:t>
      </w:r>
      <w:r w:rsidRPr="008E6D00">
        <w:rPr>
          <w:rFonts w:asciiTheme="majorBidi" w:hAnsiTheme="majorBidi" w:cstheme="majorBidi"/>
          <w:b/>
          <w:color w:val="111111"/>
        </w:rPr>
        <w:t>conditions? If so why?</w:t>
      </w:r>
    </w:p>
    <w:p w14:paraId="2B67ACC5" w14:textId="77777777" w:rsidR="00803C81" w:rsidRDefault="00162C59" w:rsidP="00006D8D">
      <w:pPr>
        <w:pStyle w:val="NormalWeb"/>
        <w:shd w:val="clear" w:color="auto" w:fill="FFFFFF"/>
        <w:spacing w:before="0" w:beforeAutospacing="0" w:after="240" w:afterAutospacing="0" w:line="480" w:lineRule="auto"/>
        <w:ind w:firstLine="720"/>
        <w:rPr>
          <w:rFonts w:asciiTheme="majorBidi" w:hAnsiTheme="majorBidi" w:cstheme="majorBidi"/>
          <w:color w:val="111111"/>
        </w:rPr>
      </w:pPr>
      <w:r>
        <w:rPr>
          <w:rFonts w:asciiTheme="majorBidi" w:hAnsiTheme="majorBidi" w:cstheme="majorBidi"/>
          <w:color w:val="111111"/>
        </w:rPr>
        <w:t>There is a dire need to meet the needs of the offender. This is true even though the level to which those needs should be met also vary depending on the type of crime the offender did. For instance, you cannot deny someone basic need</w:t>
      </w:r>
      <w:r>
        <w:rPr>
          <w:rFonts w:asciiTheme="majorBidi" w:hAnsiTheme="majorBidi" w:cstheme="majorBidi"/>
          <w:color w:val="111111"/>
        </w:rPr>
        <w:t>s such as food and shelter even when they are in prison. Such needs are crucial for the survival of the offender now that the aim is not to kill them but to correct them and thus ensure safety in the society</w:t>
      </w:r>
      <w:r>
        <w:rPr>
          <w:rFonts w:asciiTheme="majorBidi" w:hAnsiTheme="majorBidi" w:cstheme="majorBidi"/>
          <w:color w:val="111111"/>
        </w:rPr>
        <w:t xml:space="preserve"> (Maruschak, &amp; Parks, </w:t>
      </w:r>
      <w:r w:rsidRPr="00721AFD">
        <w:rPr>
          <w:rFonts w:asciiTheme="majorBidi" w:hAnsiTheme="majorBidi" w:cstheme="majorBidi"/>
          <w:color w:val="111111"/>
        </w:rPr>
        <w:t>2012</w:t>
      </w:r>
      <w:r>
        <w:rPr>
          <w:rFonts w:asciiTheme="majorBidi" w:hAnsiTheme="majorBidi" w:cstheme="majorBidi"/>
          <w:color w:val="111111"/>
        </w:rPr>
        <w:t>)</w:t>
      </w:r>
      <w:r>
        <w:rPr>
          <w:rFonts w:asciiTheme="majorBidi" w:hAnsiTheme="majorBidi" w:cstheme="majorBidi"/>
          <w:color w:val="111111"/>
        </w:rPr>
        <w:t>. Other ne</w:t>
      </w:r>
      <w:r>
        <w:rPr>
          <w:rFonts w:asciiTheme="majorBidi" w:hAnsiTheme="majorBidi" w:cstheme="majorBidi"/>
          <w:color w:val="111111"/>
        </w:rPr>
        <w:t>eds such as medication cannot also be denied. If</w:t>
      </w:r>
      <w:bookmarkStart w:id="0" w:name="_GoBack"/>
      <w:bookmarkEnd w:id="0"/>
      <w:r>
        <w:rPr>
          <w:rFonts w:asciiTheme="majorBidi" w:hAnsiTheme="majorBidi" w:cstheme="majorBidi"/>
          <w:color w:val="111111"/>
        </w:rPr>
        <w:t xml:space="preserve"> the offender is not considered, then the aim of probation may fail. </w:t>
      </w:r>
      <w:r>
        <w:rPr>
          <w:rFonts w:asciiTheme="majorBidi" w:hAnsiTheme="majorBidi" w:cstheme="majorBidi"/>
          <w:color w:val="111111"/>
        </w:rPr>
        <w:t>It is necessary as well due to the laws which cleared stipulate the need for protection of human rights even when an individual is under</w:t>
      </w:r>
      <w:r>
        <w:rPr>
          <w:rFonts w:asciiTheme="majorBidi" w:hAnsiTheme="majorBidi" w:cstheme="majorBidi"/>
          <w:color w:val="111111"/>
        </w:rPr>
        <w:t xml:space="preserve"> arrest. Some offenders suffer from some medical conditions. In issuing both standard and special conditions during probation, such conditions must be well analyzed and considered to avoid violation of the rule of law</w:t>
      </w:r>
      <w:r>
        <w:rPr>
          <w:rFonts w:asciiTheme="majorBidi" w:hAnsiTheme="majorBidi" w:cstheme="majorBidi"/>
          <w:color w:val="111111"/>
        </w:rPr>
        <w:t xml:space="preserve"> (Taxman, </w:t>
      </w:r>
      <w:r w:rsidRPr="001F6EF6">
        <w:rPr>
          <w:rFonts w:asciiTheme="majorBidi" w:hAnsiTheme="majorBidi" w:cstheme="majorBidi"/>
          <w:color w:val="111111"/>
        </w:rPr>
        <w:t>2012</w:t>
      </w:r>
      <w:r>
        <w:rPr>
          <w:rFonts w:asciiTheme="majorBidi" w:hAnsiTheme="majorBidi" w:cstheme="majorBidi"/>
          <w:color w:val="111111"/>
        </w:rPr>
        <w:t>)</w:t>
      </w:r>
      <w:r>
        <w:rPr>
          <w:rFonts w:asciiTheme="majorBidi" w:hAnsiTheme="majorBidi" w:cstheme="majorBidi"/>
          <w:color w:val="111111"/>
        </w:rPr>
        <w:t xml:space="preserve">. After all, the </w:t>
      </w:r>
      <w:r>
        <w:rPr>
          <w:rFonts w:asciiTheme="majorBidi" w:hAnsiTheme="majorBidi" w:cstheme="majorBidi"/>
          <w:color w:val="111111"/>
        </w:rPr>
        <w:t>offender is still a human being whose rights must be protected.</w:t>
      </w:r>
    </w:p>
    <w:p w14:paraId="6C3A1B30" w14:textId="77777777" w:rsidR="00803C81" w:rsidRDefault="00162C59" w:rsidP="00006D8D">
      <w:pPr>
        <w:pStyle w:val="NormalWeb"/>
        <w:shd w:val="clear" w:color="auto" w:fill="FFFFFF"/>
        <w:spacing w:before="0" w:beforeAutospacing="0" w:after="240" w:afterAutospacing="0" w:line="480" w:lineRule="auto"/>
        <w:ind w:firstLine="720"/>
        <w:rPr>
          <w:rFonts w:asciiTheme="majorBidi" w:hAnsiTheme="majorBidi" w:cstheme="majorBidi"/>
          <w:color w:val="111111"/>
        </w:rPr>
      </w:pPr>
      <w:r>
        <w:rPr>
          <w:rFonts w:asciiTheme="majorBidi" w:hAnsiTheme="majorBidi" w:cstheme="majorBidi"/>
          <w:color w:val="111111"/>
        </w:rPr>
        <w:t>There many reasons why the offenders' needs must be considered to ensure that their rights are protected as humans. Looking into the needs of the offenders is a good strategy</w:t>
      </w:r>
      <w:r>
        <w:rPr>
          <w:rFonts w:asciiTheme="majorBidi" w:hAnsiTheme="majorBidi" w:cstheme="majorBidi"/>
          <w:color w:val="111111"/>
        </w:rPr>
        <w:t xml:space="preserve"> that can be used in</w:t>
      </w:r>
      <w:r>
        <w:rPr>
          <w:rFonts w:asciiTheme="majorBidi" w:hAnsiTheme="majorBidi" w:cstheme="majorBidi"/>
          <w:color w:val="111111"/>
        </w:rPr>
        <w:t xml:space="preserve"> making the offender to cooperate thinking that </w:t>
      </w:r>
      <w:r>
        <w:rPr>
          <w:rFonts w:asciiTheme="majorBidi" w:hAnsiTheme="majorBidi" w:cstheme="majorBidi"/>
          <w:color w:val="111111"/>
        </w:rPr>
        <w:t>they are also listened to</w:t>
      </w:r>
      <w:r>
        <w:rPr>
          <w:rFonts w:asciiTheme="majorBidi" w:hAnsiTheme="majorBidi" w:cstheme="majorBidi"/>
          <w:color w:val="111111"/>
        </w:rPr>
        <w:t>. It is a better way of getting information from the criminal</w:t>
      </w:r>
      <w:r>
        <w:rPr>
          <w:rFonts w:asciiTheme="majorBidi" w:hAnsiTheme="majorBidi" w:cstheme="majorBidi"/>
          <w:color w:val="111111"/>
        </w:rPr>
        <w:t xml:space="preserve"> (Maruschak, &amp; Parks, </w:t>
      </w:r>
      <w:r w:rsidRPr="00721AFD">
        <w:rPr>
          <w:rFonts w:asciiTheme="majorBidi" w:hAnsiTheme="majorBidi" w:cstheme="majorBidi"/>
          <w:color w:val="111111"/>
        </w:rPr>
        <w:t>2012</w:t>
      </w:r>
      <w:r>
        <w:rPr>
          <w:rFonts w:asciiTheme="majorBidi" w:hAnsiTheme="majorBidi" w:cstheme="majorBidi"/>
          <w:color w:val="111111"/>
        </w:rPr>
        <w:t>)</w:t>
      </w:r>
      <w:r>
        <w:rPr>
          <w:rFonts w:asciiTheme="majorBidi" w:hAnsiTheme="majorBidi" w:cstheme="majorBidi"/>
          <w:color w:val="111111"/>
        </w:rPr>
        <w:t>. Someone would be willing to share when they are involved unlike if their needs are entirely unconsidered. In fact, to put it in a better way, the conditions stipulated must be accepted by the person involved before they start the probation. Otherwise, th</w:t>
      </w:r>
      <w:r>
        <w:rPr>
          <w:rFonts w:asciiTheme="majorBidi" w:hAnsiTheme="majorBidi" w:cstheme="majorBidi"/>
          <w:color w:val="111111"/>
        </w:rPr>
        <w:t xml:space="preserve">e process won't be effective. The judge is </w:t>
      </w:r>
      <w:r>
        <w:rPr>
          <w:rFonts w:asciiTheme="majorBidi" w:hAnsiTheme="majorBidi" w:cstheme="majorBidi"/>
          <w:color w:val="111111"/>
        </w:rPr>
        <w:t xml:space="preserve">allowed to impose the conditions either as stated in the law but they can also impose a range of conditions after listening to </w:t>
      </w:r>
      <w:r>
        <w:rPr>
          <w:rFonts w:asciiTheme="majorBidi" w:hAnsiTheme="majorBidi" w:cstheme="majorBidi"/>
          <w:color w:val="111111"/>
        </w:rPr>
        <w:t>the offender who must be allowed to defend themselves.</w:t>
      </w:r>
    </w:p>
    <w:p w14:paraId="4580EFB3" w14:textId="77777777" w:rsidR="00803C81" w:rsidRDefault="00162C59" w:rsidP="00006D8D">
      <w:pPr>
        <w:pStyle w:val="NormalWeb"/>
        <w:shd w:val="clear" w:color="auto" w:fill="FFFFFF"/>
        <w:spacing w:before="0" w:beforeAutospacing="0" w:after="240" w:afterAutospacing="0" w:line="480" w:lineRule="auto"/>
        <w:ind w:firstLine="720"/>
        <w:rPr>
          <w:rFonts w:asciiTheme="majorBidi" w:hAnsiTheme="majorBidi" w:cstheme="majorBidi"/>
          <w:color w:val="111111"/>
        </w:rPr>
      </w:pPr>
      <w:r>
        <w:rPr>
          <w:rFonts w:asciiTheme="majorBidi" w:hAnsiTheme="majorBidi" w:cstheme="majorBidi"/>
          <w:color w:val="111111"/>
        </w:rPr>
        <w:lastRenderedPageBreak/>
        <w:t xml:space="preserve">However, even as the offender’s needs are considered, some precaution must be exercised. </w:t>
      </w:r>
      <w:r>
        <w:rPr>
          <w:rFonts w:asciiTheme="majorBidi" w:hAnsiTheme="majorBidi" w:cstheme="majorBidi"/>
          <w:color w:val="111111"/>
        </w:rPr>
        <w:t>This is because this is someone who is to face punishment for the wrong done. Giving them a lot of freedom would make the probation lose meaning. Some of the r</w:t>
      </w:r>
      <w:r>
        <w:rPr>
          <w:rFonts w:asciiTheme="majorBidi" w:hAnsiTheme="majorBidi" w:cstheme="majorBidi"/>
          <w:color w:val="111111"/>
        </w:rPr>
        <w:t>equests might be contrary to what the law states especially concerning standard and special conditions on probation</w:t>
      </w:r>
      <w:r>
        <w:rPr>
          <w:rFonts w:asciiTheme="majorBidi" w:hAnsiTheme="majorBidi" w:cstheme="majorBidi"/>
          <w:color w:val="111111"/>
        </w:rPr>
        <w:t xml:space="preserve"> (Taxman, </w:t>
      </w:r>
      <w:r w:rsidRPr="001F6EF6">
        <w:rPr>
          <w:rFonts w:asciiTheme="majorBidi" w:hAnsiTheme="majorBidi" w:cstheme="majorBidi"/>
          <w:color w:val="111111"/>
        </w:rPr>
        <w:t>2012</w:t>
      </w:r>
      <w:r>
        <w:rPr>
          <w:rFonts w:asciiTheme="majorBidi" w:hAnsiTheme="majorBidi" w:cstheme="majorBidi"/>
          <w:color w:val="111111"/>
        </w:rPr>
        <w:t>)</w:t>
      </w:r>
      <w:r>
        <w:rPr>
          <w:rFonts w:asciiTheme="majorBidi" w:hAnsiTheme="majorBidi" w:cstheme="majorBidi"/>
          <w:color w:val="111111"/>
        </w:rPr>
        <w:t>.</w:t>
      </w:r>
    </w:p>
    <w:p w14:paraId="737DD57B" w14:textId="77777777" w:rsidR="00803C81" w:rsidRPr="00A24464"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b/>
          <w:color w:val="111111"/>
        </w:rPr>
      </w:pPr>
      <w:r w:rsidRPr="00A24464">
        <w:rPr>
          <w:rFonts w:asciiTheme="majorBidi" w:hAnsiTheme="majorBidi" w:cstheme="majorBidi"/>
          <w:b/>
          <w:color w:val="111111"/>
        </w:rPr>
        <w:t>Conclusion</w:t>
      </w:r>
    </w:p>
    <w:p w14:paraId="30EB9AE6" w14:textId="77777777" w:rsidR="00803C81" w:rsidRDefault="00162C59" w:rsidP="00006D8D">
      <w:pPr>
        <w:pStyle w:val="NormalWeb"/>
        <w:shd w:val="clear" w:color="auto" w:fill="FFFFFF"/>
        <w:spacing w:before="0" w:beforeAutospacing="0" w:after="240" w:afterAutospacing="0" w:line="480" w:lineRule="auto"/>
        <w:ind w:firstLine="720"/>
        <w:rPr>
          <w:rFonts w:asciiTheme="majorBidi" w:hAnsiTheme="majorBidi" w:cstheme="majorBidi"/>
          <w:color w:val="111111"/>
        </w:rPr>
      </w:pPr>
      <w:r>
        <w:rPr>
          <w:rFonts w:asciiTheme="majorBidi" w:hAnsiTheme="majorBidi" w:cstheme="majorBidi"/>
          <w:color w:val="111111"/>
        </w:rPr>
        <w:t xml:space="preserve">In conclusion, standard and special conditions are important components in probation. They, however, </w:t>
      </w:r>
      <w:r>
        <w:rPr>
          <w:rFonts w:asciiTheme="majorBidi" w:hAnsiTheme="majorBidi" w:cstheme="majorBidi"/>
          <w:color w:val="111111"/>
        </w:rPr>
        <w:t>differ</w:t>
      </w:r>
      <w:r>
        <w:rPr>
          <w:rFonts w:asciiTheme="majorBidi" w:hAnsiTheme="majorBidi" w:cstheme="majorBidi"/>
          <w:color w:val="111111"/>
        </w:rPr>
        <w:t xml:space="preserve"> significantly </w:t>
      </w:r>
      <w:r>
        <w:rPr>
          <w:rFonts w:asciiTheme="majorBidi" w:hAnsiTheme="majorBidi" w:cstheme="majorBidi"/>
          <w:color w:val="111111"/>
        </w:rPr>
        <w:t>since special conditions vary depending on the type of crime done. It should be noted that a violation of these conditions during the time of probation is punishable. Furthermore, it is important to consider the needs of the offender b</w:t>
      </w:r>
      <w:r>
        <w:rPr>
          <w:rFonts w:asciiTheme="majorBidi" w:hAnsiTheme="majorBidi" w:cstheme="majorBidi"/>
          <w:color w:val="111111"/>
        </w:rPr>
        <w:t>ut only to a limited extent which must be within the law</w:t>
      </w:r>
      <w:r>
        <w:rPr>
          <w:rFonts w:asciiTheme="majorBidi" w:hAnsiTheme="majorBidi" w:cstheme="majorBidi"/>
          <w:color w:val="111111"/>
        </w:rPr>
        <w:t>.</w:t>
      </w:r>
    </w:p>
    <w:p w14:paraId="04B04939" w14:textId="77777777" w:rsidR="0043041E"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r>
        <w:rPr>
          <w:rFonts w:asciiTheme="majorBidi" w:hAnsiTheme="majorBidi" w:cstheme="majorBidi"/>
          <w:color w:val="111111"/>
        </w:rPr>
        <w:br w:type="page"/>
      </w:r>
    </w:p>
    <w:p w14:paraId="18099173" w14:textId="64A763E6" w:rsidR="00803C81" w:rsidRDefault="00162C59" w:rsidP="00006D8D">
      <w:pPr>
        <w:pStyle w:val="NormalWeb"/>
        <w:shd w:val="clear" w:color="auto" w:fill="FFFFFF"/>
        <w:spacing w:before="0" w:beforeAutospacing="0" w:after="240" w:afterAutospacing="0" w:line="480" w:lineRule="auto"/>
        <w:jc w:val="center"/>
        <w:rPr>
          <w:rFonts w:asciiTheme="majorBidi" w:hAnsiTheme="majorBidi" w:cstheme="majorBidi"/>
          <w:color w:val="111111"/>
        </w:rPr>
      </w:pPr>
      <w:r>
        <w:rPr>
          <w:rFonts w:asciiTheme="majorBidi" w:hAnsiTheme="majorBidi" w:cstheme="majorBidi"/>
          <w:color w:val="111111"/>
        </w:rPr>
        <w:lastRenderedPageBreak/>
        <w:t>References</w:t>
      </w:r>
    </w:p>
    <w:p w14:paraId="1F358A2C" w14:textId="77777777" w:rsidR="005A1328" w:rsidRDefault="00162C59" w:rsidP="00006D8D">
      <w:pPr>
        <w:pStyle w:val="NormalWeb"/>
        <w:shd w:val="clear" w:color="auto" w:fill="FFFFFF"/>
        <w:spacing w:before="0" w:beforeAutospacing="0" w:after="240" w:afterAutospacing="0" w:line="480" w:lineRule="auto"/>
        <w:ind w:left="720" w:hanging="720"/>
        <w:rPr>
          <w:rFonts w:asciiTheme="majorBidi" w:hAnsiTheme="majorBidi" w:cstheme="majorBidi"/>
          <w:color w:val="111111"/>
        </w:rPr>
      </w:pPr>
      <w:r w:rsidRPr="002176AE">
        <w:rPr>
          <w:rFonts w:asciiTheme="majorBidi" w:hAnsiTheme="majorBidi" w:cstheme="majorBidi"/>
          <w:color w:val="111111"/>
        </w:rPr>
        <w:t>Epperson, M. W., Thompson, J., &amp; Lurigio, A. (2014). Walking the line: Specialized and</w:t>
      </w:r>
      <w:r>
        <w:rPr>
          <w:rFonts w:asciiTheme="majorBidi" w:hAnsiTheme="majorBidi" w:cstheme="majorBidi"/>
          <w:color w:val="111111"/>
        </w:rPr>
        <w:t xml:space="preserve"> </w:t>
      </w:r>
      <w:r w:rsidRPr="002176AE">
        <w:rPr>
          <w:rFonts w:asciiTheme="majorBidi" w:hAnsiTheme="majorBidi" w:cstheme="majorBidi"/>
          <w:color w:val="111111"/>
        </w:rPr>
        <w:t>standard probation officer perspectives on supervising probationers with serious mental</w:t>
      </w:r>
      <w:r>
        <w:rPr>
          <w:rFonts w:asciiTheme="majorBidi" w:hAnsiTheme="majorBidi" w:cstheme="majorBidi"/>
          <w:color w:val="111111"/>
        </w:rPr>
        <w:t xml:space="preserve"> </w:t>
      </w:r>
      <w:r w:rsidRPr="002176AE">
        <w:rPr>
          <w:rFonts w:asciiTheme="majorBidi" w:hAnsiTheme="majorBidi" w:cstheme="majorBidi"/>
          <w:color w:val="111111"/>
        </w:rPr>
        <w:t>illnesses.</w:t>
      </w:r>
      <w:r>
        <w:rPr>
          <w:rFonts w:asciiTheme="majorBidi" w:hAnsiTheme="majorBidi" w:cstheme="majorBidi"/>
          <w:color w:val="111111"/>
        </w:rPr>
        <w:t xml:space="preserve"> </w:t>
      </w:r>
      <w:r w:rsidRPr="002176AE">
        <w:rPr>
          <w:rFonts w:asciiTheme="majorBidi" w:hAnsiTheme="majorBidi" w:cstheme="majorBidi"/>
          <w:i/>
          <w:iCs/>
          <w:color w:val="111111"/>
        </w:rPr>
        <w:t>International journal of law and psychiatry</w:t>
      </w:r>
      <w:r w:rsidRPr="002176AE">
        <w:rPr>
          <w:rFonts w:asciiTheme="majorBidi" w:hAnsiTheme="majorBidi" w:cstheme="majorBidi"/>
          <w:color w:val="111111"/>
        </w:rPr>
        <w:t xml:space="preserve">, </w:t>
      </w:r>
      <w:r w:rsidRPr="002176AE">
        <w:rPr>
          <w:rFonts w:asciiTheme="majorBidi" w:hAnsiTheme="majorBidi" w:cstheme="majorBidi"/>
          <w:i/>
          <w:iCs/>
          <w:color w:val="111111"/>
        </w:rPr>
        <w:t>37</w:t>
      </w:r>
      <w:r w:rsidRPr="002176AE">
        <w:rPr>
          <w:rFonts w:asciiTheme="majorBidi" w:hAnsiTheme="majorBidi" w:cstheme="majorBidi"/>
          <w:color w:val="111111"/>
        </w:rPr>
        <w:t>(5), 473-483.</w:t>
      </w:r>
    </w:p>
    <w:p w14:paraId="6402812A" w14:textId="77777777" w:rsidR="005A1328" w:rsidRDefault="00162C59" w:rsidP="00006D8D">
      <w:pPr>
        <w:pStyle w:val="NormalWeb"/>
        <w:shd w:val="clear" w:color="auto" w:fill="FFFFFF"/>
        <w:spacing w:before="0" w:beforeAutospacing="0" w:after="240" w:afterAutospacing="0" w:line="480" w:lineRule="auto"/>
        <w:ind w:left="720" w:hanging="720"/>
        <w:rPr>
          <w:rFonts w:asciiTheme="majorBidi" w:hAnsiTheme="majorBidi" w:cstheme="majorBidi"/>
          <w:color w:val="111111"/>
        </w:rPr>
      </w:pPr>
      <w:r>
        <w:t xml:space="preserve">Glenn W. (2018). National Institute of Corrections. Retrieved from: </w:t>
      </w:r>
      <w:hyperlink r:id="rId7" w:history="1">
        <w:r>
          <w:rPr>
            <w:rStyle w:val="Hyperlink"/>
          </w:rPr>
          <w:t>http://nicic.gov/</w:t>
        </w:r>
      </w:hyperlink>
    </w:p>
    <w:p w14:paraId="4F221787" w14:textId="77777777" w:rsidR="005A1328" w:rsidRDefault="00162C59" w:rsidP="00006D8D">
      <w:pPr>
        <w:pStyle w:val="NormalWeb"/>
        <w:shd w:val="clear" w:color="auto" w:fill="FFFFFF"/>
        <w:spacing w:before="0" w:beforeAutospacing="0" w:after="240" w:afterAutospacing="0" w:line="480" w:lineRule="auto"/>
        <w:ind w:left="720" w:hanging="720"/>
        <w:rPr>
          <w:rFonts w:asciiTheme="majorBidi" w:hAnsiTheme="majorBidi" w:cstheme="majorBidi"/>
          <w:color w:val="111111"/>
        </w:rPr>
      </w:pPr>
      <w:r w:rsidRPr="00721AFD">
        <w:rPr>
          <w:rFonts w:asciiTheme="majorBidi" w:hAnsiTheme="majorBidi" w:cstheme="majorBidi"/>
          <w:color w:val="111111"/>
        </w:rPr>
        <w:t>Maruschak, L. M., &amp; Parks, E. (2012). Probation and parole in th</w:t>
      </w:r>
      <w:r w:rsidRPr="00721AFD">
        <w:rPr>
          <w:rFonts w:asciiTheme="majorBidi" w:hAnsiTheme="majorBidi" w:cstheme="majorBidi"/>
          <w:color w:val="111111"/>
        </w:rPr>
        <w:t>e United States, 2011.</w:t>
      </w:r>
      <w:r>
        <w:rPr>
          <w:rFonts w:asciiTheme="majorBidi" w:hAnsiTheme="majorBidi" w:cstheme="majorBidi"/>
          <w:color w:val="111111"/>
        </w:rPr>
        <w:t xml:space="preserve"> </w:t>
      </w:r>
      <w:r w:rsidRPr="00721AFD">
        <w:rPr>
          <w:rFonts w:asciiTheme="majorBidi" w:hAnsiTheme="majorBidi" w:cstheme="majorBidi"/>
          <w:i/>
          <w:iCs/>
          <w:color w:val="111111"/>
        </w:rPr>
        <w:t>Washington, DC: US Department of Justice, Office of Justice Programs, Bureau of</w:t>
      </w:r>
      <w:r>
        <w:rPr>
          <w:rFonts w:asciiTheme="majorBidi" w:hAnsiTheme="majorBidi" w:cstheme="majorBidi"/>
          <w:i/>
          <w:iCs/>
          <w:color w:val="111111"/>
        </w:rPr>
        <w:t xml:space="preserve"> </w:t>
      </w:r>
      <w:r w:rsidRPr="00721AFD">
        <w:rPr>
          <w:rFonts w:asciiTheme="majorBidi" w:hAnsiTheme="majorBidi" w:cstheme="majorBidi"/>
          <w:i/>
          <w:iCs/>
          <w:color w:val="111111"/>
        </w:rPr>
        <w:t>Justice</w:t>
      </w:r>
      <w:r>
        <w:rPr>
          <w:rFonts w:asciiTheme="majorBidi" w:hAnsiTheme="majorBidi" w:cstheme="majorBidi"/>
          <w:i/>
          <w:iCs/>
          <w:color w:val="111111"/>
        </w:rPr>
        <w:t xml:space="preserve"> </w:t>
      </w:r>
      <w:r w:rsidRPr="00721AFD">
        <w:rPr>
          <w:rFonts w:asciiTheme="majorBidi" w:hAnsiTheme="majorBidi" w:cstheme="majorBidi"/>
          <w:i/>
          <w:iCs/>
          <w:color w:val="111111"/>
        </w:rPr>
        <w:t>Statistics</w:t>
      </w:r>
      <w:r w:rsidRPr="00721AFD">
        <w:rPr>
          <w:rFonts w:asciiTheme="majorBidi" w:hAnsiTheme="majorBidi" w:cstheme="majorBidi"/>
          <w:color w:val="111111"/>
        </w:rPr>
        <w:t>.</w:t>
      </w:r>
    </w:p>
    <w:p w14:paraId="69ED65C4" w14:textId="77777777" w:rsidR="005A1328" w:rsidRDefault="00162C59" w:rsidP="00006D8D">
      <w:pPr>
        <w:pStyle w:val="NormalWeb"/>
        <w:shd w:val="clear" w:color="auto" w:fill="FFFFFF"/>
        <w:spacing w:before="0" w:beforeAutospacing="0" w:after="240" w:afterAutospacing="0" w:line="480" w:lineRule="auto"/>
        <w:ind w:left="720" w:hanging="720"/>
        <w:rPr>
          <w:rFonts w:asciiTheme="majorBidi" w:hAnsiTheme="majorBidi" w:cstheme="majorBidi"/>
          <w:color w:val="111111"/>
        </w:rPr>
      </w:pPr>
      <w:r w:rsidRPr="00721AFD">
        <w:rPr>
          <w:rFonts w:asciiTheme="majorBidi" w:hAnsiTheme="majorBidi" w:cstheme="majorBidi"/>
          <w:color w:val="111111"/>
        </w:rPr>
        <w:t xml:space="preserve">Motivans, M. (2013). Federal justice statistics, 2010. </w:t>
      </w:r>
      <w:r w:rsidRPr="00721AFD">
        <w:rPr>
          <w:rFonts w:asciiTheme="majorBidi" w:hAnsiTheme="majorBidi" w:cstheme="majorBidi"/>
          <w:i/>
          <w:iCs/>
          <w:color w:val="111111"/>
        </w:rPr>
        <w:t>Bureau of Justice Statistics</w:t>
      </w:r>
      <w:r w:rsidRPr="00721AFD">
        <w:rPr>
          <w:rFonts w:asciiTheme="majorBidi" w:hAnsiTheme="majorBidi" w:cstheme="majorBidi"/>
          <w:color w:val="111111"/>
        </w:rPr>
        <w:t>.</w:t>
      </w:r>
      <w:r>
        <w:rPr>
          <w:rFonts w:asciiTheme="majorBidi" w:hAnsiTheme="majorBidi" w:cstheme="majorBidi"/>
          <w:color w:val="111111"/>
        </w:rPr>
        <w:t xml:space="preserve"> Retrieved from: </w:t>
      </w:r>
      <w:hyperlink r:id="rId8" w:history="1">
        <w:r w:rsidRPr="00721AFD">
          <w:rPr>
            <w:rStyle w:val="Hyperlink"/>
            <w:rFonts w:asciiTheme="majorBidi" w:hAnsiTheme="majorBidi" w:cstheme="majorBidi"/>
          </w:rPr>
          <w:t>http://www.bjs.gov/</w:t>
        </w:r>
      </w:hyperlink>
    </w:p>
    <w:p w14:paraId="5365F43B" w14:textId="77777777" w:rsidR="005A1328" w:rsidRDefault="00162C59" w:rsidP="00006D8D">
      <w:pPr>
        <w:pStyle w:val="NormalWeb"/>
        <w:shd w:val="clear" w:color="auto" w:fill="FFFFFF"/>
        <w:spacing w:before="0" w:beforeAutospacing="0" w:after="240" w:afterAutospacing="0" w:line="480" w:lineRule="auto"/>
        <w:ind w:left="720" w:hanging="720"/>
        <w:rPr>
          <w:rFonts w:asciiTheme="majorBidi" w:hAnsiTheme="majorBidi" w:cstheme="majorBidi"/>
          <w:color w:val="111111"/>
        </w:rPr>
      </w:pPr>
      <w:r w:rsidRPr="006335E7">
        <w:rPr>
          <w:rFonts w:asciiTheme="majorBidi" w:hAnsiTheme="majorBidi" w:cstheme="majorBidi"/>
          <w:color w:val="111111"/>
        </w:rPr>
        <w:t>Phelps, M. S. (2013). The paradox of probation: Community supervision in the age of mass</w:t>
      </w:r>
      <w:r>
        <w:rPr>
          <w:rFonts w:asciiTheme="majorBidi" w:hAnsiTheme="majorBidi" w:cstheme="majorBidi"/>
          <w:color w:val="111111"/>
        </w:rPr>
        <w:t xml:space="preserve"> </w:t>
      </w:r>
      <w:r w:rsidRPr="006335E7">
        <w:rPr>
          <w:rFonts w:asciiTheme="majorBidi" w:hAnsiTheme="majorBidi" w:cstheme="majorBidi"/>
          <w:color w:val="111111"/>
        </w:rPr>
        <w:t xml:space="preserve">incarceration. </w:t>
      </w:r>
      <w:r w:rsidRPr="006335E7">
        <w:rPr>
          <w:rFonts w:asciiTheme="majorBidi" w:hAnsiTheme="majorBidi" w:cstheme="majorBidi"/>
          <w:i/>
          <w:iCs/>
          <w:color w:val="111111"/>
        </w:rPr>
        <w:t>Law &amp; policy</w:t>
      </w:r>
      <w:r w:rsidRPr="006335E7">
        <w:rPr>
          <w:rFonts w:asciiTheme="majorBidi" w:hAnsiTheme="majorBidi" w:cstheme="majorBidi"/>
          <w:color w:val="111111"/>
        </w:rPr>
        <w:t xml:space="preserve">, </w:t>
      </w:r>
      <w:r w:rsidRPr="006335E7">
        <w:rPr>
          <w:rFonts w:asciiTheme="majorBidi" w:hAnsiTheme="majorBidi" w:cstheme="majorBidi"/>
          <w:i/>
          <w:iCs/>
          <w:color w:val="111111"/>
        </w:rPr>
        <w:t>35</w:t>
      </w:r>
      <w:r w:rsidRPr="006335E7">
        <w:rPr>
          <w:rFonts w:asciiTheme="majorBidi" w:hAnsiTheme="majorBidi" w:cstheme="majorBidi"/>
          <w:color w:val="111111"/>
        </w:rPr>
        <w:t>(1-2), 51-80</w:t>
      </w:r>
      <w:r>
        <w:rPr>
          <w:rFonts w:asciiTheme="majorBidi" w:hAnsiTheme="majorBidi" w:cstheme="majorBidi"/>
          <w:color w:val="111111"/>
        </w:rPr>
        <w:t>.</w:t>
      </w:r>
    </w:p>
    <w:p w14:paraId="09576815" w14:textId="77777777" w:rsidR="005A1328" w:rsidRPr="001F6EF6" w:rsidRDefault="00162C59" w:rsidP="00006D8D">
      <w:pPr>
        <w:pStyle w:val="NormalWeb"/>
        <w:shd w:val="clear" w:color="auto" w:fill="FFFFFF"/>
        <w:spacing w:before="0" w:beforeAutospacing="0" w:after="240" w:afterAutospacing="0" w:line="480" w:lineRule="auto"/>
        <w:ind w:left="720" w:hanging="720"/>
        <w:rPr>
          <w:rFonts w:asciiTheme="majorBidi" w:hAnsiTheme="majorBidi" w:cstheme="majorBidi"/>
          <w:color w:val="111111"/>
        </w:rPr>
      </w:pPr>
      <w:r w:rsidRPr="001F6EF6">
        <w:rPr>
          <w:rFonts w:asciiTheme="majorBidi" w:hAnsiTheme="majorBidi" w:cstheme="majorBidi"/>
          <w:color w:val="111111"/>
        </w:rPr>
        <w:t xml:space="preserve">Taxman, F. S. (2012). Probation, intermediate sanctions, and community-based corrections. </w:t>
      </w:r>
      <w:r w:rsidRPr="001F6EF6">
        <w:rPr>
          <w:rFonts w:asciiTheme="majorBidi" w:hAnsiTheme="majorBidi" w:cstheme="majorBidi"/>
          <w:i/>
          <w:iCs/>
          <w:color w:val="111111"/>
        </w:rPr>
        <w:t>The</w:t>
      </w:r>
      <w:r>
        <w:rPr>
          <w:rFonts w:asciiTheme="majorBidi" w:hAnsiTheme="majorBidi" w:cstheme="majorBidi"/>
          <w:i/>
          <w:iCs/>
          <w:color w:val="111111"/>
        </w:rPr>
        <w:t xml:space="preserve"> </w:t>
      </w:r>
      <w:r w:rsidRPr="001F6EF6">
        <w:rPr>
          <w:rFonts w:asciiTheme="majorBidi" w:hAnsiTheme="majorBidi" w:cstheme="majorBidi"/>
          <w:i/>
          <w:iCs/>
          <w:color w:val="111111"/>
        </w:rPr>
        <w:t>Oxford handbook of sentencing and corrections</w:t>
      </w:r>
      <w:r w:rsidRPr="001F6EF6">
        <w:rPr>
          <w:rFonts w:asciiTheme="majorBidi" w:hAnsiTheme="majorBidi" w:cstheme="majorBidi"/>
          <w:color w:val="111111"/>
        </w:rPr>
        <w:t>, 363-385.</w:t>
      </w:r>
    </w:p>
    <w:sectPr w:rsidR="005A1328" w:rsidRPr="001F6EF6" w:rsidSect="0089687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0F005" w14:textId="77777777" w:rsidR="00162C59" w:rsidRDefault="00162C59">
      <w:pPr>
        <w:spacing w:after="0" w:line="240" w:lineRule="auto"/>
      </w:pPr>
      <w:r>
        <w:separator/>
      </w:r>
    </w:p>
  </w:endnote>
  <w:endnote w:type="continuationSeparator" w:id="0">
    <w:p w14:paraId="5A167F41" w14:textId="77777777" w:rsidR="00162C59" w:rsidRDefault="00162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A8DAE9" w14:textId="77777777" w:rsidR="00162C59" w:rsidRDefault="00162C59">
      <w:pPr>
        <w:spacing w:after="0" w:line="240" w:lineRule="auto"/>
      </w:pPr>
      <w:r>
        <w:separator/>
      </w:r>
    </w:p>
  </w:footnote>
  <w:footnote w:type="continuationSeparator" w:id="0">
    <w:p w14:paraId="73A700C8" w14:textId="77777777" w:rsidR="00162C59" w:rsidRDefault="00162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877459887"/>
      <w:docPartObj>
        <w:docPartGallery w:val="Page Numbers (Top of Page)"/>
        <w:docPartUnique/>
      </w:docPartObj>
    </w:sdtPr>
    <w:sdtEndPr>
      <w:rPr>
        <w:noProof/>
      </w:rPr>
    </w:sdtEndPr>
    <w:sdtContent>
      <w:p w14:paraId="31550E3A" w14:textId="131A58FA" w:rsidR="0070587E" w:rsidRPr="0070587E" w:rsidRDefault="00162C59" w:rsidP="0070587E">
        <w:pPr>
          <w:pStyle w:val="Header"/>
          <w:jc w:val="right"/>
          <w:rPr>
            <w:sz w:val="22"/>
            <w:szCs w:val="22"/>
          </w:rPr>
        </w:pPr>
        <w:r w:rsidRPr="0070587E">
          <w:rPr>
            <w:sz w:val="22"/>
            <w:szCs w:val="22"/>
          </w:rPr>
          <w:t xml:space="preserve">STANDARD AND SPECIAL CONDITIONS OF PROBATION   </w:t>
        </w:r>
        <w:r>
          <w:rPr>
            <w:sz w:val="22"/>
            <w:szCs w:val="22"/>
          </w:rPr>
          <w:t xml:space="preserve">                                                             </w:t>
        </w:r>
        <w:r w:rsidRPr="0070587E">
          <w:rPr>
            <w:sz w:val="22"/>
            <w:szCs w:val="22"/>
          </w:rPr>
          <w:fldChar w:fldCharType="begin"/>
        </w:r>
        <w:r w:rsidRPr="0070587E">
          <w:rPr>
            <w:sz w:val="22"/>
            <w:szCs w:val="22"/>
          </w:rPr>
          <w:instrText xml:space="preserve"> PAGE   \* MERGEFORMAT</w:instrText>
        </w:r>
        <w:r w:rsidRPr="0070587E">
          <w:rPr>
            <w:sz w:val="22"/>
            <w:szCs w:val="22"/>
          </w:rPr>
          <w:instrText xml:space="preserve"> </w:instrText>
        </w:r>
        <w:r w:rsidRPr="0070587E">
          <w:rPr>
            <w:sz w:val="22"/>
            <w:szCs w:val="22"/>
          </w:rPr>
          <w:fldChar w:fldCharType="separate"/>
        </w:r>
        <w:r w:rsidR="006E3B53">
          <w:rPr>
            <w:noProof/>
            <w:sz w:val="22"/>
            <w:szCs w:val="22"/>
          </w:rPr>
          <w:t>6</w:t>
        </w:r>
        <w:r w:rsidRPr="0070587E">
          <w:rPr>
            <w:noProof/>
            <w:sz w:val="22"/>
            <w:szCs w:val="22"/>
          </w:rPr>
          <w:fldChar w:fldCharType="end"/>
        </w:r>
      </w:p>
    </w:sdtContent>
  </w:sdt>
  <w:p w14:paraId="7695A807" w14:textId="77777777" w:rsidR="0070587E" w:rsidRDefault="00162C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1101258085"/>
      <w:docPartObj>
        <w:docPartGallery w:val="Page Numbers (Top of Page)"/>
        <w:docPartUnique/>
      </w:docPartObj>
    </w:sdtPr>
    <w:sdtEndPr>
      <w:rPr>
        <w:noProof/>
      </w:rPr>
    </w:sdtEndPr>
    <w:sdtContent>
      <w:p w14:paraId="1D5DCC1B" w14:textId="5386BD76" w:rsidR="0089687E" w:rsidRPr="0089687E" w:rsidRDefault="00162C59" w:rsidP="0089687E">
        <w:pPr>
          <w:pStyle w:val="Header"/>
          <w:jc w:val="right"/>
          <w:rPr>
            <w:sz w:val="22"/>
            <w:szCs w:val="22"/>
          </w:rPr>
        </w:pPr>
        <w:r>
          <w:rPr>
            <w:sz w:val="22"/>
            <w:szCs w:val="22"/>
          </w:rPr>
          <w:t xml:space="preserve">Running head: </w:t>
        </w:r>
        <w:r w:rsidRPr="0089687E">
          <w:rPr>
            <w:sz w:val="22"/>
            <w:szCs w:val="22"/>
          </w:rPr>
          <w:t xml:space="preserve">STANDARD AND SPECIAL CONDITIONS OF PROBATION </w:t>
        </w:r>
        <w:r>
          <w:rPr>
            <w:sz w:val="22"/>
            <w:szCs w:val="22"/>
          </w:rPr>
          <w:t xml:space="preserve">                                      </w:t>
        </w:r>
        <w:r w:rsidRPr="0089687E">
          <w:rPr>
            <w:sz w:val="22"/>
            <w:szCs w:val="22"/>
          </w:rPr>
          <w:fldChar w:fldCharType="begin"/>
        </w:r>
        <w:r w:rsidRPr="0089687E">
          <w:rPr>
            <w:sz w:val="22"/>
            <w:szCs w:val="22"/>
          </w:rPr>
          <w:instrText xml:space="preserve"> PAGE   \* MERGEFORMAT </w:instrText>
        </w:r>
        <w:r w:rsidRPr="0089687E">
          <w:rPr>
            <w:sz w:val="22"/>
            <w:szCs w:val="22"/>
          </w:rPr>
          <w:fldChar w:fldCharType="separate"/>
        </w:r>
        <w:r w:rsidR="00681A4A">
          <w:rPr>
            <w:noProof/>
            <w:sz w:val="22"/>
            <w:szCs w:val="22"/>
          </w:rPr>
          <w:t>1</w:t>
        </w:r>
        <w:r w:rsidRPr="0089687E">
          <w:rPr>
            <w:noProof/>
            <w:sz w:val="22"/>
            <w:szCs w:val="22"/>
          </w:rPr>
          <w:fldChar w:fldCharType="end"/>
        </w:r>
      </w:p>
    </w:sdtContent>
  </w:sdt>
  <w:p w14:paraId="09ECA0B0" w14:textId="77777777" w:rsidR="0089687E" w:rsidRDefault="00162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0A7719"/>
    <w:multiLevelType w:val="multilevel"/>
    <w:tmpl w:val="A9FA8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B153C3"/>
    <w:multiLevelType w:val="hybridMultilevel"/>
    <w:tmpl w:val="37922B10"/>
    <w:lvl w:ilvl="0" w:tplc="EFB6A130">
      <w:start w:val="1"/>
      <w:numFmt w:val="bullet"/>
      <w:lvlText w:val=""/>
      <w:lvlJc w:val="left"/>
      <w:pPr>
        <w:ind w:left="720" w:hanging="360"/>
      </w:pPr>
      <w:rPr>
        <w:rFonts w:ascii="Symbol" w:hAnsi="Symbol" w:hint="default"/>
      </w:rPr>
    </w:lvl>
    <w:lvl w:ilvl="1" w:tplc="1DE8C122">
      <w:start w:val="1"/>
      <w:numFmt w:val="bullet"/>
      <w:lvlText w:val="o"/>
      <w:lvlJc w:val="left"/>
      <w:pPr>
        <w:ind w:left="1440" w:hanging="360"/>
      </w:pPr>
      <w:rPr>
        <w:rFonts w:ascii="Courier New" w:hAnsi="Courier New" w:cs="Courier New" w:hint="default"/>
      </w:rPr>
    </w:lvl>
    <w:lvl w:ilvl="2" w:tplc="F0F0CDE8">
      <w:start w:val="1"/>
      <w:numFmt w:val="bullet"/>
      <w:lvlText w:val=""/>
      <w:lvlJc w:val="left"/>
      <w:pPr>
        <w:ind w:left="2160" w:hanging="360"/>
      </w:pPr>
      <w:rPr>
        <w:rFonts w:ascii="Wingdings" w:hAnsi="Wingdings" w:hint="default"/>
      </w:rPr>
    </w:lvl>
    <w:lvl w:ilvl="3" w:tplc="BE0ECED2">
      <w:start w:val="1"/>
      <w:numFmt w:val="bullet"/>
      <w:lvlText w:val=""/>
      <w:lvlJc w:val="left"/>
      <w:pPr>
        <w:ind w:left="2880" w:hanging="360"/>
      </w:pPr>
      <w:rPr>
        <w:rFonts w:ascii="Symbol" w:hAnsi="Symbol" w:hint="default"/>
      </w:rPr>
    </w:lvl>
    <w:lvl w:ilvl="4" w:tplc="C2CA33DC">
      <w:start w:val="1"/>
      <w:numFmt w:val="bullet"/>
      <w:lvlText w:val="o"/>
      <w:lvlJc w:val="left"/>
      <w:pPr>
        <w:ind w:left="3600" w:hanging="360"/>
      </w:pPr>
      <w:rPr>
        <w:rFonts w:ascii="Courier New" w:hAnsi="Courier New" w:cs="Courier New" w:hint="default"/>
      </w:rPr>
    </w:lvl>
    <w:lvl w:ilvl="5" w:tplc="D6668176">
      <w:start w:val="1"/>
      <w:numFmt w:val="bullet"/>
      <w:lvlText w:val=""/>
      <w:lvlJc w:val="left"/>
      <w:pPr>
        <w:ind w:left="4320" w:hanging="360"/>
      </w:pPr>
      <w:rPr>
        <w:rFonts w:ascii="Wingdings" w:hAnsi="Wingdings" w:hint="default"/>
      </w:rPr>
    </w:lvl>
    <w:lvl w:ilvl="6" w:tplc="183872C0">
      <w:start w:val="1"/>
      <w:numFmt w:val="bullet"/>
      <w:lvlText w:val=""/>
      <w:lvlJc w:val="left"/>
      <w:pPr>
        <w:ind w:left="5040" w:hanging="360"/>
      </w:pPr>
      <w:rPr>
        <w:rFonts w:ascii="Symbol" w:hAnsi="Symbol" w:hint="default"/>
      </w:rPr>
    </w:lvl>
    <w:lvl w:ilvl="7" w:tplc="AABA0D34">
      <w:start w:val="1"/>
      <w:numFmt w:val="bullet"/>
      <w:lvlText w:val="o"/>
      <w:lvlJc w:val="left"/>
      <w:pPr>
        <w:ind w:left="5760" w:hanging="360"/>
      </w:pPr>
      <w:rPr>
        <w:rFonts w:ascii="Courier New" w:hAnsi="Courier New" w:cs="Courier New" w:hint="default"/>
      </w:rPr>
    </w:lvl>
    <w:lvl w:ilvl="8" w:tplc="F620B546">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54D"/>
    <w:rsid w:val="00162C59"/>
    <w:rsid w:val="0052554D"/>
    <w:rsid w:val="00681A4A"/>
    <w:rsid w:val="006E3B53"/>
    <w:rsid w:val="009322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DB9373-8B78-47F2-887E-E05BDBFC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3B75"/>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7C3B75"/>
    <w:rPr>
      <w:color w:val="0563C1" w:themeColor="hyperlink"/>
      <w:u w:val="single"/>
    </w:rPr>
  </w:style>
  <w:style w:type="paragraph" w:styleId="Header">
    <w:name w:val="header"/>
    <w:basedOn w:val="Normal"/>
    <w:link w:val="HeaderChar"/>
    <w:uiPriority w:val="99"/>
    <w:unhideWhenUsed/>
    <w:rsid w:val="00CA0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38D"/>
  </w:style>
  <w:style w:type="paragraph" w:styleId="Footer">
    <w:name w:val="footer"/>
    <w:basedOn w:val="Normal"/>
    <w:link w:val="FooterChar"/>
    <w:uiPriority w:val="99"/>
    <w:unhideWhenUsed/>
    <w:rsid w:val="00CA0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38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81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A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s.gov/" TargetMode="External"/><Relationship Id="rId3" Type="http://schemas.openxmlformats.org/officeDocument/2006/relationships/settings" Target="settings.xml"/><Relationship Id="rId7" Type="http://schemas.openxmlformats.org/officeDocument/2006/relationships/hyperlink" Target="http://nicic.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632</TotalTime>
  <Pages>6</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Bader Al-Ghanim</dc:creator>
  <cp:lastModifiedBy>Antony Ouma</cp:lastModifiedBy>
  <cp:revision>49</cp:revision>
  <dcterms:created xsi:type="dcterms:W3CDTF">2018-02-08T08:58:00Z</dcterms:created>
  <dcterms:modified xsi:type="dcterms:W3CDTF">2018-02-08T20:29:00Z</dcterms:modified>
</cp:coreProperties>
</file>